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927FA4">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w:t>
      </w:r>
      <w:r w:rsidR="00FB7DC3">
        <w:rPr>
          <w:rFonts w:ascii="Arial Narrow" w:hAnsi="Arial Narrow" w:cs="Arial"/>
          <w:b/>
          <w:bCs/>
          <w:sz w:val="22"/>
          <w:szCs w:val="22"/>
        </w:rPr>
        <w:t>40</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6321EE">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6321EE">
        <w:rPr>
          <w:rFonts w:ascii="Arial Narrow" w:hAnsi="Arial Narrow" w:cs="Arial"/>
          <w:sz w:val="22"/>
          <w:szCs w:val="22"/>
        </w:rPr>
        <w:tab/>
      </w:r>
      <w:r w:rsidR="006321EE" w:rsidRPr="006321EE">
        <w:rPr>
          <w:rFonts w:ascii="Arial Narrow" w:hAnsi="Arial Narrow" w:cs="Arial"/>
          <w:b/>
          <w:sz w:val="22"/>
          <w:szCs w:val="22"/>
        </w:rPr>
        <w:t xml:space="preserve">O </w:t>
      </w:r>
      <w:r w:rsidRPr="006321EE">
        <w:rPr>
          <w:rFonts w:ascii="Arial Narrow" w:hAnsi="Arial Narrow" w:cs="Arial"/>
          <w:b/>
          <w:sz w:val="22"/>
          <w:szCs w:val="22"/>
        </w:rPr>
        <w:t>MUNICÍPIO</w:t>
      </w:r>
      <w:r w:rsidRPr="004F5D9D">
        <w:rPr>
          <w:rFonts w:ascii="Arial Narrow" w:hAnsi="Arial Narrow" w:cs="Arial"/>
          <w:b/>
          <w:sz w:val="22"/>
          <w:szCs w:val="22"/>
        </w:rPr>
        <w:t xml:space="preserve"> DE DOUTOR RICARDO - RS</w:t>
      </w:r>
      <w:r w:rsidRPr="004F5D9D">
        <w:rPr>
          <w:rFonts w:ascii="Arial Narrow" w:hAnsi="Arial Narrow" w:cs="Arial"/>
          <w:sz w:val="22"/>
          <w:szCs w:val="22"/>
        </w:rPr>
        <w:t>, pessoa jurídica de direito público</w:t>
      </w:r>
      <w:r w:rsidR="006321EE">
        <w:rPr>
          <w:rFonts w:ascii="Arial Narrow" w:hAnsi="Arial Narrow" w:cs="Arial"/>
          <w:sz w:val="22"/>
          <w:szCs w:val="22"/>
        </w:rPr>
        <w:t xml:space="preserve"> interno</w:t>
      </w:r>
      <w:r w:rsidRPr="004F5D9D">
        <w:rPr>
          <w:rFonts w:ascii="Arial Narrow" w:hAnsi="Arial Narrow" w:cs="Arial"/>
          <w:sz w:val="22"/>
          <w:szCs w:val="22"/>
        </w:rPr>
        <w:t>, inscrit</w:t>
      </w:r>
      <w:r w:rsidR="006321EE">
        <w:rPr>
          <w:rFonts w:ascii="Arial Narrow" w:hAnsi="Arial Narrow" w:cs="Arial"/>
          <w:sz w:val="22"/>
          <w:szCs w:val="22"/>
        </w:rPr>
        <w:t>o</w:t>
      </w:r>
      <w:r w:rsidRPr="004F5D9D">
        <w:rPr>
          <w:rFonts w:ascii="Arial Narrow" w:hAnsi="Arial Narrow" w:cs="Arial"/>
          <w:sz w:val="22"/>
          <w:szCs w:val="22"/>
        </w:rPr>
        <w:t xml:space="preserve"> no CNPJ sob nº 01.613.360/0001-21, localizada na RS 332 KM 21, 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residente e domiciliad</w:t>
      </w:r>
      <w:r w:rsidR="006321EE">
        <w:rPr>
          <w:rFonts w:ascii="Arial Narrow" w:hAnsi="Arial Narrow" w:cs="Arial"/>
          <w:sz w:val="22"/>
          <w:szCs w:val="22"/>
        </w:rPr>
        <w:t>a</w:t>
      </w:r>
      <w:r w:rsidRPr="004F5D9D">
        <w:rPr>
          <w:rFonts w:ascii="Arial Narrow" w:hAnsi="Arial Narrow" w:cs="Arial"/>
          <w:sz w:val="22"/>
          <w:szCs w:val="22"/>
        </w:rPr>
        <w:t xml:space="preserve"> no Município de Doutor Ricardo</w:t>
      </w:r>
      <w:r w:rsidR="006321EE">
        <w:rPr>
          <w:rFonts w:ascii="Arial Narrow" w:hAnsi="Arial Narrow" w:cs="Arial"/>
          <w:sz w:val="22"/>
          <w:szCs w:val="22"/>
        </w:rPr>
        <w:t>-</w:t>
      </w:r>
      <w:r w:rsidRPr="004F5D9D">
        <w:rPr>
          <w:rFonts w:ascii="Arial Narrow" w:hAnsi="Arial Narrow" w:cs="Arial"/>
          <w:sz w:val="22"/>
          <w:szCs w:val="22"/>
        </w:rPr>
        <w:t>RS.</w:t>
      </w:r>
    </w:p>
    <w:p w:rsidR="004D7CD6" w:rsidRDefault="004D7CD6" w:rsidP="00927FA4">
      <w:pPr>
        <w:pStyle w:val="Recuodecorpodetexto3"/>
        <w:spacing w:line="276" w:lineRule="auto"/>
        <w:jc w:val="both"/>
        <w:rPr>
          <w:rFonts w:ascii="Arial Narrow" w:hAnsi="Arial Narrow" w:cs="Arial"/>
          <w:b/>
          <w:sz w:val="22"/>
          <w:szCs w:val="22"/>
        </w:rPr>
      </w:pPr>
      <w:r w:rsidRPr="004D7CD6">
        <w:rPr>
          <w:rFonts w:ascii="Arial Narrow" w:hAnsi="Arial Narrow" w:cs="Arial"/>
          <w:b/>
          <w:sz w:val="22"/>
          <w:szCs w:val="22"/>
        </w:rPr>
        <w:t xml:space="preserve">CONTRATADA: </w:t>
      </w:r>
      <w:r w:rsidR="006321EE">
        <w:rPr>
          <w:rFonts w:ascii="Arial Narrow" w:hAnsi="Arial Narrow" w:cs="Arial"/>
          <w:b/>
          <w:sz w:val="22"/>
          <w:szCs w:val="22"/>
        </w:rPr>
        <w:tab/>
      </w:r>
      <w:r w:rsidR="00FB7DC3" w:rsidRPr="00FB7DC3">
        <w:rPr>
          <w:rFonts w:ascii="Arial Narrow" w:hAnsi="Arial Narrow" w:cs="Arial"/>
          <w:b/>
          <w:sz w:val="22"/>
          <w:szCs w:val="22"/>
        </w:rPr>
        <w:t>INDUSTRIA DE SUCOS PUTINGUENSES LTDA</w:t>
      </w:r>
      <w:r w:rsidRPr="004D7CD6">
        <w:rPr>
          <w:rFonts w:ascii="Arial Narrow" w:hAnsi="Arial Narrow" w:cs="Arial"/>
          <w:bCs/>
          <w:sz w:val="22"/>
          <w:szCs w:val="22"/>
        </w:rPr>
        <w:t>, inscrit</w:t>
      </w:r>
      <w:r w:rsidR="006321EE">
        <w:rPr>
          <w:rFonts w:ascii="Arial Narrow" w:hAnsi="Arial Narrow" w:cs="Arial"/>
          <w:bCs/>
          <w:sz w:val="22"/>
          <w:szCs w:val="22"/>
        </w:rPr>
        <w:t>a</w:t>
      </w:r>
      <w:r w:rsidRPr="004D7CD6">
        <w:rPr>
          <w:rFonts w:ascii="Arial Narrow" w:hAnsi="Arial Narrow" w:cs="Arial"/>
          <w:bCs/>
          <w:sz w:val="22"/>
          <w:szCs w:val="22"/>
        </w:rPr>
        <w:t xml:space="preserve"> no </w:t>
      </w:r>
      <w:r w:rsidR="00640D48">
        <w:rPr>
          <w:rFonts w:ascii="Arial Narrow" w:hAnsi="Arial Narrow" w:cs="Arial"/>
          <w:bCs/>
          <w:sz w:val="22"/>
          <w:szCs w:val="22"/>
        </w:rPr>
        <w:t>CNPJ</w:t>
      </w:r>
      <w:r w:rsidRPr="004D7CD6">
        <w:rPr>
          <w:rFonts w:ascii="Arial Narrow" w:hAnsi="Arial Narrow" w:cs="Arial"/>
          <w:bCs/>
          <w:sz w:val="22"/>
          <w:szCs w:val="22"/>
        </w:rPr>
        <w:t xml:space="preserve"> </w:t>
      </w:r>
      <w:r w:rsidR="006321EE">
        <w:rPr>
          <w:rFonts w:ascii="Arial Narrow" w:hAnsi="Arial Narrow" w:cs="Arial"/>
          <w:bCs/>
          <w:sz w:val="22"/>
          <w:szCs w:val="22"/>
        </w:rPr>
        <w:t>sob nº</w:t>
      </w:r>
      <w:r w:rsidR="00FB7DC3">
        <w:rPr>
          <w:rFonts w:ascii="Arial Narrow" w:hAnsi="Arial Narrow" w:cs="Arial"/>
          <w:bCs/>
          <w:sz w:val="22"/>
          <w:szCs w:val="22"/>
        </w:rPr>
        <w:t>05.728.869/0001-70</w:t>
      </w:r>
      <w:r w:rsidRPr="004D7CD6">
        <w:rPr>
          <w:rFonts w:ascii="Arial Narrow" w:hAnsi="Arial Narrow" w:cs="Arial"/>
          <w:bCs/>
          <w:sz w:val="22"/>
          <w:szCs w:val="22"/>
        </w:rPr>
        <w:t xml:space="preserve">, </w:t>
      </w:r>
      <w:r w:rsidR="006321EE">
        <w:rPr>
          <w:rFonts w:ascii="Arial Narrow" w:hAnsi="Arial Narrow" w:cs="Arial"/>
          <w:bCs/>
          <w:sz w:val="22"/>
          <w:szCs w:val="22"/>
        </w:rPr>
        <w:t>com sede na</w:t>
      </w:r>
      <w:r w:rsidRPr="004D7CD6">
        <w:rPr>
          <w:rFonts w:ascii="Arial Narrow" w:hAnsi="Arial Narrow" w:cs="Arial"/>
          <w:bCs/>
          <w:sz w:val="22"/>
          <w:szCs w:val="22"/>
        </w:rPr>
        <w:t xml:space="preserve"> </w:t>
      </w:r>
      <w:r w:rsidR="00FB7DC3">
        <w:rPr>
          <w:rFonts w:ascii="Arial Narrow" w:hAnsi="Arial Narrow" w:cs="Arial"/>
          <w:bCs/>
          <w:sz w:val="22"/>
          <w:szCs w:val="22"/>
        </w:rPr>
        <w:t>Linha Miguelzinho</w:t>
      </w:r>
      <w:r w:rsidR="00D43925">
        <w:rPr>
          <w:rFonts w:ascii="Arial Narrow" w:hAnsi="Arial Narrow" w:cs="Arial"/>
          <w:bCs/>
          <w:sz w:val="22"/>
          <w:szCs w:val="22"/>
        </w:rPr>
        <w:t xml:space="preserve">, </w:t>
      </w:r>
      <w:r w:rsidR="00FB7DC3">
        <w:rPr>
          <w:rFonts w:ascii="Arial Narrow" w:hAnsi="Arial Narrow" w:cs="Arial"/>
          <w:bCs/>
          <w:sz w:val="22"/>
          <w:szCs w:val="22"/>
        </w:rPr>
        <w:t>s/n</w:t>
      </w:r>
      <w:r w:rsidR="006321EE">
        <w:rPr>
          <w:rFonts w:ascii="Arial Narrow" w:hAnsi="Arial Narrow" w:cs="Arial"/>
          <w:bCs/>
          <w:sz w:val="22"/>
          <w:szCs w:val="22"/>
        </w:rPr>
        <w:t>º</w:t>
      </w:r>
      <w:r w:rsidR="00D43925">
        <w:rPr>
          <w:rFonts w:ascii="Arial Narrow" w:hAnsi="Arial Narrow" w:cs="Arial"/>
          <w:bCs/>
          <w:sz w:val="22"/>
          <w:szCs w:val="22"/>
        </w:rPr>
        <w:t xml:space="preserve">, </w:t>
      </w:r>
      <w:r w:rsidR="00FB7DC3">
        <w:rPr>
          <w:rFonts w:ascii="Arial Narrow" w:hAnsi="Arial Narrow" w:cs="Arial"/>
          <w:bCs/>
          <w:sz w:val="22"/>
          <w:szCs w:val="22"/>
        </w:rPr>
        <w:t>Interior</w:t>
      </w:r>
      <w:r w:rsidRPr="004D7CD6">
        <w:rPr>
          <w:rFonts w:ascii="Arial Narrow" w:hAnsi="Arial Narrow" w:cs="Arial"/>
          <w:bCs/>
          <w:sz w:val="22"/>
          <w:szCs w:val="22"/>
        </w:rPr>
        <w:t xml:space="preserve">, na cidade de </w:t>
      </w:r>
      <w:r w:rsidR="00FB7DC3">
        <w:rPr>
          <w:rFonts w:ascii="Arial Narrow" w:hAnsi="Arial Narrow" w:cs="Arial"/>
          <w:bCs/>
          <w:sz w:val="22"/>
          <w:szCs w:val="22"/>
        </w:rPr>
        <w:t>Putinga</w:t>
      </w:r>
      <w:r w:rsidRPr="004D7CD6">
        <w:rPr>
          <w:rFonts w:ascii="Arial Narrow" w:hAnsi="Arial Narrow" w:cs="Arial"/>
          <w:bCs/>
          <w:sz w:val="22"/>
          <w:szCs w:val="22"/>
        </w:rPr>
        <w:t>-RS.</w:t>
      </w:r>
      <w:r w:rsidRPr="004D7CD6">
        <w:rPr>
          <w:rFonts w:ascii="Arial Narrow" w:hAnsi="Arial Narrow" w:cs="Arial"/>
          <w:b/>
          <w:sz w:val="22"/>
          <w:szCs w:val="22"/>
        </w:rPr>
        <w:t xml:space="preserve">  </w:t>
      </w:r>
    </w:p>
    <w:p w:rsidR="002E6A84" w:rsidRDefault="006321EE"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sendo que o</w:t>
      </w:r>
      <w:r w:rsidRPr="004F5D9D">
        <w:rPr>
          <w:rFonts w:ascii="Arial Narrow" w:hAnsi="Arial Narrow" w:cs="Arial"/>
          <w:sz w:val="22"/>
          <w:szCs w:val="22"/>
        </w:rPr>
        <w:t xml:space="preserve"> CONTRATADO se compromete a fornecer os gêneros alimentícios da Agricultura Familiar ao CONTRATANTE conforme descrito no Projeto de Venda de Gêneros Alimentícios da Agricultura Familiar parte integrante deste Instrumento.</w:t>
      </w:r>
    </w:p>
    <w:p w:rsidR="00315CE8" w:rsidRDefault="00315CE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 xml:space="preserve">O limite individual de venda de gêneros alimentícios do Agricultor Familiar e do Empreendedor Familiar Rural, neste ato denominados CONTRATADOS, será de </w:t>
      </w:r>
      <w:r w:rsidR="000E7FC2" w:rsidRPr="009908D2">
        <w:rPr>
          <w:rFonts w:ascii="Arial Narrow" w:hAnsi="Arial Narrow" w:cs="Arial"/>
          <w:sz w:val="22"/>
          <w:szCs w:val="22"/>
        </w:rPr>
        <w:t xml:space="preserve">até </w:t>
      </w:r>
      <w:r w:rsidR="009908D2" w:rsidRPr="009908D2">
        <w:rPr>
          <w:rFonts w:ascii="Arial Narrow" w:hAnsi="Arial Narrow" w:cs="Arial"/>
          <w:sz w:val="22"/>
          <w:szCs w:val="22"/>
        </w:rPr>
        <w:t>R$ 2.214,79</w:t>
      </w:r>
      <w:r w:rsidR="000E7FC2" w:rsidRPr="009908D2">
        <w:rPr>
          <w:rFonts w:ascii="Arial Narrow" w:hAnsi="Arial Narrow" w:cs="Arial"/>
          <w:sz w:val="22"/>
          <w:szCs w:val="22"/>
        </w:rPr>
        <w:t>,</w:t>
      </w:r>
      <w:r w:rsidR="00BE1B42" w:rsidRPr="009908D2">
        <w:rPr>
          <w:rFonts w:ascii="Arial Narrow" w:hAnsi="Arial Narrow" w:cs="Arial"/>
          <w:sz w:val="22"/>
          <w:szCs w:val="22"/>
        </w:rPr>
        <w:t xml:space="preserve"> </w:t>
      </w:r>
      <w:r w:rsidR="00BE1B42" w:rsidRPr="004F5D9D">
        <w:rPr>
          <w:rFonts w:ascii="Arial Narrow" w:hAnsi="Arial Narrow" w:cs="Arial"/>
          <w:sz w:val="22"/>
          <w:szCs w:val="22"/>
        </w:rPr>
        <w:t xml:space="preserve">por 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BE1B42" w:rsidRPr="004F5D9D" w:rsidRDefault="00E40748" w:rsidP="00927FA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FB7DC3" w:rsidRPr="00FB7DC3">
        <w:rPr>
          <w:rFonts w:ascii="Arial Narrow" w:hAnsi="Arial Narrow" w:cs="Arial"/>
          <w:sz w:val="22"/>
          <w:szCs w:val="22"/>
        </w:rPr>
        <w:t>R$ 2.214,79 (dois mil duzentos e quatorze reais com setenta e nove centavos)</w:t>
      </w:r>
      <w:r w:rsidR="00640D48">
        <w:rPr>
          <w:rFonts w:ascii="Arial Narrow" w:hAnsi="Arial Narrow" w:cs="Arial"/>
          <w:sz w:val="22"/>
          <w:szCs w:val="22"/>
        </w:rPr>
        <w:t>,</w:t>
      </w:r>
      <w:r w:rsidR="00D43925">
        <w:rPr>
          <w:rFonts w:ascii="Arial Narrow" w:hAnsi="Arial Narrow" w:cs="Arial"/>
          <w:sz w:val="22"/>
          <w:szCs w:val="22"/>
        </w:rPr>
        <w:t xml:space="preserve"> </w:t>
      </w:r>
      <w:r w:rsidR="00BE1B42" w:rsidRPr="004F5D9D">
        <w:rPr>
          <w:rFonts w:ascii="Arial Narrow" w:hAnsi="Arial Narrow" w:cs="Arial"/>
          <w:sz w:val="22"/>
          <w:szCs w:val="22"/>
        </w:rPr>
        <w:t>conforme listagem anexa a seguir:</w:t>
      </w:r>
    </w:p>
    <w:tbl>
      <w:tblPr>
        <w:tblW w:w="5000" w:type="pct"/>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5"/>
        <w:gridCol w:w="5820"/>
        <w:gridCol w:w="312"/>
        <w:gridCol w:w="690"/>
        <w:gridCol w:w="461"/>
        <w:gridCol w:w="854"/>
        <w:gridCol w:w="899"/>
      </w:tblGrid>
      <w:tr w:rsidR="00927FA4" w:rsidRPr="00725F00" w:rsidTr="00640D48">
        <w:tc>
          <w:tcPr>
            <w:tcW w:w="174"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Item</w:t>
            </w:r>
          </w:p>
        </w:tc>
        <w:tc>
          <w:tcPr>
            <w:tcW w:w="3109"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Produto</w:t>
            </w:r>
          </w:p>
        </w:tc>
        <w:tc>
          <w:tcPr>
            <w:tcW w:w="167"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Un</w:t>
            </w:r>
            <w:proofErr w:type="spellEnd"/>
          </w:p>
        </w:tc>
        <w:tc>
          <w:tcPr>
            <w:tcW w:w="369"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Qtd</w:t>
            </w:r>
            <w:proofErr w:type="spellEnd"/>
          </w:p>
        </w:tc>
        <w:tc>
          <w:tcPr>
            <w:tcW w:w="24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Marca</w:t>
            </w:r>
          </w:p>
        </w:tc>
        <w:tc>
          <w:tcPr>
            <w:tcW w:w="45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Uni</w:t>
            </w:r>
          </w:p>
        </w:tc>
        <w:tc>
          <w:tcPr>
            <w:tcW w:w="480" w:type="pct"/>
            <w:tcBorders>
              <w:top w:val="single" w:sz="2" w:space="0" w:color="000000"/>
              <w:left w:val="single" w:sz="2" w:space="0" w:color="000000"/>
              <w:bottom w:val="single" w:sz="2" w:space="0" w:color="000000"/>
              <w:right w:val="single" w:sz="2" w:space="0" w:color="000000"/>
            </w:tcBorders>
            <w:hideMark/>
          </w:tcPr>
          <w:p w:rsidR="00FB7DC3"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w:t>
            </w:r>
            <w:proofErr w:type="spellStart"/>
            <w:r w:rsidRPr="00725F00">
              <w:rPr>
                <w:rFonts w:ascii="Arial Narrow" w:hAnsi="Arial Narrow"/>
                <w:bCs/>
                <w:noProof w:val="0"/>
                <w:sz w:val="20"/>
                <w:szCs w:val="20"/>
                <w:lang w:eastAsia="zh-CN" w:bidi="hi-IN"/>
              </w:rPr>
              <w:t>Tot</w:t>
            </w:r>
            <w:proofErr w:type="spellEnd"/>
          </w:p>
        </w:tc>
      </w:tr>
      <w:tr w:rsidR="00FB7DC3" w:rsidTr="00FB7DC3">
        <w:tc>
          <w:tcPr>
            <w:tcW w:w="174"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25</w:t>
            </w:r>
          </w:p>
        </w:tc>
        <w:tc>
          <w:tcPr>
            <w:tcW w:w="3109"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 xml:space="preserve">SUCO DE UVA NATURAL INTEGRAL (LITRO), SEM ADIÇÃO DE AÇÚCAR E EDULCORANTES, SEM ADIÇÃO DE ÁGUA, SEM CONSERVANTES, SEM SUCOS CONCENTRADOS, SEM AROMATIZANTES E SEM GLÚTEN, PRONTO PARA CONSUMO. ENVASADO EM EMBALAGEM DE VIDRO DE ATÉ 2 LITROS. RÓTULO COM IDENTIFICAÇÃO DO PRODUTO, VALOR NUTRICIONAL, PESO, FABRICANTE. VALIDADE 12 MESES DA DATA DE FABRICAÇÃO. </w:t>
            </w:r>
          </w:p>
        </w:tc>
        <w:tc>
          <w:tcPr>
            <w:tcW w:w="167"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L</w:t>
            </w:r>
          </w:p>
        </w:tc>
        <w:tc>
          <w:tcPr>
            <w:tcW w:w="369"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168,0000</w:t>
            </w:r>
          </w:p>
        </w:tc>
        <w:tc>
          <w:tcPr>
            <w:tcW w:w="246"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R$ 13,1833</w:t>
            </w:r>
          </w:p>
        </w:tc>
        <w:tc>
          <w:tcPr>
            <w:tcW w:w="480"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R$ 2.214,79</w:t>
            </w:r>
          </w:p>
        </w:tc>
      </w:tr>
      <w:tr w:rsidR="00FB7DC3" w:rsidTr="00FB7DC3">
        <w:tc>
          <w:tcPr>
            <w:tcW w:w="174"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3109"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167"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369"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246"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Total</w:t>
            </w:r>
          </w:p>
        </w:tc>
        <w:tc>
          <w:tcPr>
            <w:tcW w:w="480" w:type="pct"/>
            <w:tcBorders>
              <w:top w:val="single" w:sz="2" w:space="0" w:color="000000"/>
              <w:left w:val="single" w:sz="2" w:space="0" w:color="000000"/>
              <w:bottom w:val="single" w:sz="2" w:space="0" w:color="000000"/>
              <w:right w:val="single" w:sz="2" w:space="0" w:color="000000"/>
            </w:tcBorders>
          </w:tcPr>
          <w:p w:rsidR="00FB7DC3" w:rsidRPr="00FB7DC3" w:rsidRDefault="00FB7DC3" w:rsidP="00FB7DC3">
            <w:pPr>
              <w:suppressAutoHyphens/>
              <w:spacing w:line="276" w:lineRule="auto"/>
              <w:rPr>
                <w:rFonts w:ascii="Arial Narrow" w:hAnsi="Arial Narrow"/>
                <w:bCs/>
                <w:noProof w:val="0"/>
                <w:sz w:val="20"/>
                <w:szCs w:val="20"/>
                <w:lang w:eastAsia="zh-CN" w:bidi="hi-IN"/>
              </w:rPr>
            </w:pPr>
            <w:r w:rsidRPr="00FB7DC3">
              <w:rPr>
                <w:rFonts w:ascii="Arial Narrow" w:hAnsi="Arial Narrow"/>
                <w:bCs/>
                <w:noProof w:val="0"/>
                <w:sz w:val="20"/>
                <w:szCs w:val="20"/>
                <w:lang w:eastAsia="zh-CN" w:bidi="hi-IN"/>
              </w:rPr>
              <w:t>R$ 2.214,79</w:t>
            </w:r>
          </w:p>
        </w:tc>
      </w:tr>
    </w:tbl>
    <w:p w:rsidR="00640D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2E6A84" w:rsidRDefault="002E6A84"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6321EE">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2039,2040,2043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6321EE">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6321EE">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lastRenderedPageBreak/>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w:t>
      </w:r>
      <w:r w:rsidR="006321EE">
        <w:rPr>
          <w:rFonts w:ascii="Arial Narrow" w:eastAsia="Calibri" w:hAnsi="Arial Narrow" w:cs="Arial"/>
          <w:noProof w:val="0"/>
          <w:sz w:val="22"/>
          <w:szCs w:val="22"/>
        </w:rPr>
        <w:t xml:space="preserve">parcial e/ou total </w:t>
      </w:r>
      <w:r w:rsidRPr="004F5D9D">
        <w:rPr>
          <w:rFonts w:ascii="Arial Narrow" w:eastAsia="Calibri" w:hAnsi="Arial Narrow" w:cs="Arial"/>
          <w:noProof w:val="0"/>
          <w:sz w:val="22"/>
          <w:szCs w:val="22"/>
        </w:rPr>
        <w:t>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6321EE">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931145">
        <w:rPr>
          <w:rFonts w:ascii="Arial Narrow" w:eastAsia="Calibri" w:hAnsi="Arial Narrow" w:cs="Arial"/>
          <w:noProof w:val="0"/>
          <w:sz w:val="22"/>
          <w:szCs w:val="22"/>
        </w:rPr>
        <w:t>ela Servidora MARINA GIACOBBO</w:t>
      </w:r>
      <w:bookmarkStart w:id="0" w:name="_GoBack"/>
      <w:bookmarkEnd w:id="0"/>
      <w:r w:rsidRPr="004F5D9D">
        <w:rPr>
          <w:rFonts w:ascii="Arial Narrow" w:eastAsia="Calibri" w:hAnsi="Arial Narrow" w:cs="Arial"/>
          <w:noProof w:val="0"/>
          <w:sz w:val="22"/>
          <w:szCs w:val="22"/>
        </w:rPr>
        <w:t>,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7F2379" w:rsidRPr="004F5D9D" w:rsidRDefault="007F2379"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10.2 RECEBIMENTO DEFINITIVO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10.2.1 </w:t>
      </w:r>
      <w:r w:rsidRPr="004F5D9D">
        <w:rPr>
          <w:rFonts w:ascii="Arial Narrow" w:hAnsi="Arial Narrow" w:cs="Arial"/>
          <w:noProof w:val="0"/>
          <w:sz w:val="22"/>
          <w:szCs w:val="22"/>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lastRenderedPageBreak/>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w:t>
      </w:r>
      <w:proofErr w:type="gramStart"/>
      <w:r w:rsidRPr="004F5D9D">
        <w:rPr>
          <w:rFonts w:ascii="Arial Narrow" w:hAnsi="Arial Narrow" w:cs="Arial"/>
          <w:bCs/>
          <w:noProof w:val="0"/>
          <w:sz w:val="22"/>
          <w:szCs w:val="22"/>
        </w:rPr>
        <w:t>Será</w:t>
      </w:r>
      <w:proofErr w:type="gramEnd"/>
      <w:r w:rsidRPr="004F5D9D">
        <w:rPr>
          <w:rFonts w:ascii="Arial Narrow" w:hAnsi="Arial Narrow" w:cs="Arial"/>
          <w:bCs/>
          <w:noProof w:val="0"/>
          <w:sz w:val="22"/>
          <w:szCs w:val="22"/>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Pr="004F5D9D" w:rsidRDefault="007F2379"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lastRenderedPageBreak/>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e)</w:t>
      </w:r>
      <w:r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f)</w:t>
      </w:r>
      <w:r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Leis nº 10.520/2002 e 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Pr="004F5D9D" w:rsidRDefault="009F794F" w:rsidP="00927FA4">
      <w:pPr>
        <w:spacing w:line="276" w:lineRule="auto"/>
        <w:rPr>
          <w:rFonts w:ascii="Arial Narrow" w:hAnsi="Arial Narrow"/>
          <w:noProof w:val="0"/>
          <w:sz w:val="22"/>
          <w:szCs w:val="22"/>
        </w:rPr>
      </w:pP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lastRenderedPageBreak/>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9F794F" w:rsidRPr="004F5D9D" w:rsidRDefault="009F794F" w:rsidP="00927FA4">
      <w:pPr>
        <w:spacing w:line="276" w:lineRule="auto"/>
        <w:ind w:firstLine="2268"/>
        <w:jc w:val="both"/>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27FA4" w:rsidRPr="004F5D9D" w:rsidRDefault="00927FA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F245D2">
        <w:tc>
          <w:tcPr>
            <w:tcW w:w="4660" w:type="dxa"/>
            <w:shd w:val="clear" w:color="auto" w:fill="auto"/>
          </w:tcPr>
          <w:p w:rsidR="00927FA4" w:rsidRPr="00927FA4" w:rsidRDefault="00FB7DC3" w:rsidP="00927FA4">
            <w:pPr>
              <w:spacing w:line="276" w:lineRule="auto"/>
              <w:ind w:right="1451"/>
              <w:jc w:val="center"/>
              <w:rPr>
                <w:rFonts w:ascii="Arial Narrow" w:eastAsia="MS Mincho" w:hAnsi="Arial Narrow" w:cs="Arial"/>
                <w:b/>
                <w:noProof w:val="0"/>
                <w:sz w:val="22"/>
                <w:szCs w:val="22"/>
              </w:rPr>
            </w:pPr>
            <w:proofErr w:type="gramStart"/>
            <w:r w:rsidRPr="00FB7DC3">
              <w:rPr>
                <w:rFonts w:ascii="Arial Narrow" w:hAnsi="Arial Narrow" w:cs="Arial"/>
                <w:b/>
                <w:noProof w:val="0"/>
                <w:sz w:val="22"/>
                <w:szCs w:val="22"/>
              </w:rPr>
              <w:t>INDUSTRIA</w:t>
            </w:r>
            <w:proofErr w:type="gramEnd"/>
            <w:r w:rsidRPr="00FB7DC3">
              <w:rPr>
                <w:rFonts w:ascii="Arial Narrow" w:hAnsi="Arial Narrow" w:cs="Arial"/>
                <w:b/>
                <w:noProof w:val="0"/>
                <w:sz w:val="22"/>
                <w:szCs w:val="22"/>
              </w:rPr>
              <w:t xml:space="preserve"> DE SUCOS</w:t>
            </w:r>
            <w:r>
              <w:rPr>
                <w:rFonts w:ascii="Arial Narrow" w:hAnsi="Arial Narrow" w:cs="Arial"/>
                <w:b/>
                <w:noProof w:val="0"/>
                <w:sz w:val="22"/>
                <w:szCs w:val="22"/>
              </w:rPr>
              <w:t xml:space="preserve"> </w:t>
            </w:r>
            <w:r w:rsidRPr="00FB7DC3">
              <w:rPr>
                <w:rFonts w:ascii="Arial Narrow" w:hAnsi="Arial Narrow" w:cs="Arial"/>
                <w:b/>
                <w:noProof w:val="0"/>
                <w:sz w:val="22"/>
                <w:szCs w:val="22"/>
              </w:rPr>
              <w:t xml:space="preserve">PUTINGUENSES LTDA  </w:t>
            </w:r>
            <w:r w:rsidR="00927FA4"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F245D2">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Pr="00927FA4" w:rsidRDefault="00927FA4" w:rsidP="00927FA4">
            <w:pPr>
              <w:spacing w:line="276" w:lineRule="auto"/>
              <w:jc w:val="both"/>
              <w:rPr>
                <w:rFonts w:ascii="Arial Narrow" w:eastAsia="MS Mincho" w:hAnsi="Arial Narrow" w:cs="Arial"/>
                <w:b/>
                <w:noProof w:val="0"/>
                <w:sz w:val="22"/>
                <w:szCs w:val="22"/>
              </w:rPr>
            </w:pPr>
          </w:p>
        </w:tc>
      </w:tr>
    </w:tbl>
    <w:p w:rsidR="00927FA4" w:rsidRPr="00927FA4" w:rsidRDefault="00927FA4" w:rsidP="00927FA4">
      <w:pPr>
        <w:spacing w:line="276" w:lineRule="auto"/>
        <w:ind w:left="5664"/>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
        <w:separator/>
      </w:r>
    </w:p>
  </w:endnote>
  <w:endnote w:type="continuationSeparator" w:id="0">
    <w:p w:rsidR="008175B1" w:rsidRDefault="008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
        <w:separator/>
      </w:r>
    </w:p>
  </w:footnote>
  <w:footnote w:type="continuationSeparator" w:id="0">
    <w:p w:rsidR="008175B1" w:rsidRDefault="008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A4" w:rsidRPr="00DC0729" w:rsidRDefault="00927FA4"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27FA4" w:rsidRPr="00DC0729" w:rsidRDefault="00927FA4"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927FA4" w:rsidRPr="00DC0729" w:rsidRDefault="00927FA4"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p>
  <w:p w:rsidR="00927FA4" w:rsidRPr="00DC0729" w:rsidRDefault="00927FA4"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15CE8"/>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D7CD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1EE"/>
    <w:rsid w:val="00632DB7"/>
    <w:rsid w:val="006339FB"/>
    <w:rsid w:val="00640D48"/>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25F00"/>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27FA4"/>
    <w:rsid w:val="00931145"/>
    <w:rsid w:val="0093512E"/>
    <w:rsid w:val="009360B9"/>
    <w:rsid w:val="009417F1"/>
    <w:rsid w:val="0095309D"/>
    <w:rsid w:val="0096062E"/>
    <w:rsid w:val="00971C63"/>
    <w:rsid w:val="00981E06"/>
    <w:rsid w:val="00982EFD"/>
    <w:rsid w:val="009861BE"/>
    <w:rsid w:val="009908D2"/>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2951"/>
    <w:rsid w:val="00D23C9A"/>
    <w:rsid w:val="00D3506E"/>
    <w:rsid w:val="00D43925"/>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B7DC3"/>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94083551">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671639229">
      <w:bodyDiv w:val="1"/>
      <w:marLeft w:val="0"/>
      <w:marRight w:val="0"/>
      <w:marTop w:val="0"/>
      <w:marBottom w:val="0"/>
      <w:divBdr>
        <w:top w:val="none" w:sz="0" w:space="0" w:color="auto"/>
        <w:left w:val="none" w:sz="0" w:space="0" w:color="auto"/>
        <w:bottom w:val="none" w:sz="0" w:space="0" w:color="auto"/>
        <w:right w:val="none" w:sz="0" w:space="0" w:color="auto"/>
      </w:divBdr>
    </w:div>
    <w:div w:id="944965240">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67672878">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899826018">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0594-5928-4330-849F-E7316D52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2478</Words>
  <Characters>14313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16758</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37</cp:revision>
  <cp:lastPrinted>2020-03-04T12:02:00Z</cp:lastPrinted>
  <dcterms:created xsi:type="dcterms:W3CDTF">2018-02-01T13:12:00Z</dcterms:created>
  <dcterms:modified xsi:type="dcterms:W3CDTF">2020-04-16T17:32:00Z</dcterms:modified>
</cp:coreProperties>
</file>